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C0" w:rsidRPr="00A051EC" w:rsidRDefault="00EC66C0" w:rsidP="00EC66C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POSTER 21: </w:t>
      </w:r>
      <w:proofErr w:type="spellStart"/>
      <w:r w:rsidRPr="00A051EC">
        <w:rPr>
          <w:b/>
          <w:bCs/>
          <w:lang w:val="en-US"/>
        </w:rPr>
        <w:t>Characterisation</w:t>
      </w:r>
      <w:proofErr w:type="spellEnd"/>
      <w:r w:rsidRPr="00A051EC">
        <w:rPr>
          <w:b/>
          <w:bCs/>
          <w:lang w:val="en-US"/>
        </w:rPr>
        <w:t xml:space="preserve"> of the effect of loss of the RBM22 splicing factor in del(5q) Myelodysplastic Neoplasms</w:t>
      </w:r>
    </w:p>
    <w:p w:rsidR="00EC66C0" w:rsidRPr="00A051EC" w:rsidRDefault="00EC66C0" w:rsidP="00EC66C0">
      <w:pPr>
        <w:jc w:val="both"/>
        <w:rPr>
          <w:vertAlign w:val="superscript"/>
          <w:lang w:val="en-US"/>
        </w:rPr>
      </w:pPr>
      <w:r>
        <w:rPr>
          <w:lang w:val="en-US"/>
        </w:rPr>
        <w:br/>
      </w:r>
      <w:proofErr w:type="spellStart"/>
      <w:r w:rsidRPr="00DF37C2">
        <w:rPr>
          <w:lang w:val="en-US"/>
        </w:rPr>
        <w:t>Benoît</w:t>
      </w:r>
      <w:proofErr w:type="spellEnd"/>
      <w:r w:rsidRPr="00DF37C2">
        <w:rPr>
          <w:lang w:val="en-US"/>
        </w:rPr>
        <w:t xml:space="preserve"> Soubise</w:t>
      </w:r>
      <w:proofErr w:type="gramStart"/>
      <w:r w:rsidRPr="00A051EC">
        <w:rPr>
          <w:rStyle w:val="indice"/>
          <w:vertAlign w:val="superscript"/>
          <w:lang w:val="en-US"/>
        </w:rPr>
        <w:t>1,*</w:t>
      </w:r>
      <w:proofErr w:type="gramEnd"/>
      <w:r w:rsidRPr="00DF37C2">
        <w:rPr>
          <w:lang w:val="en-US"/>
        </w:rPr>
        <w:t xml:space="preserve">, </w:t>
      </w:r>
      <w:proofErr w:type="spellStart"/>
      <w:r w:rsidRPr="00A051EC">
        <w:rPr>
          <w:b/>
          <w:bCs/>
          <w:u w:val="single"/>
          <w:lang w:val="en-US"/>
        </w:rPr>
        <w:t>Eloïse</w:t>
      </w:r>
      <w:proofErr w:type="spellEnd"/>
      <w:r w:rsidRPr="00A051EC">
        <w:rPr>
          <w:b/>
          <w:bCs/>
          <w:u w:val="single"/>
          <w:lang w:val="en-US"/>
        </w:rPr>
        <w:t xml:space="preserve"> Le Hir-Reynaud</w:t>
      </w:r>
      <w:r w:rsidRPr="00A051EC">
        <w:rPr>
          <w:rStyle w:val="indice"/>
          <w:vertAlign w:val="superscript"/>
          <w:lang w:val="en-US"/>
        </w:rPr>
        <w:t>1</w:t>
      </w:r>
      <w:r w:rsidRPr="00DF37C2">
        <w:rPr>
          <w:lang w:val="en-US"/>
        </w:rPr>
        <w:t>, Yan Jiang</w:t>
      </w:r>
      <w:r w:rsidRPr="00A051EC">
        <w:rPr>
          <w:rStyle w:val="indice"/>
          <w:vertAlign w:val="superscript"/>
          <w:lang w:val="en-US"/>
        </w:rPr>
        <w:t>1, 2</w:t>
      </w:r>
      <w:r w:rsidRPr="00DF37C2">
        <w:rPr>
          <w:lang w:val="en-US"/>
        </w:rPr>
        <w:t xml:space="preserve">, </w:t>
      </w:r>
      <w:proofErr w:type="spellStart"/>
      <w:r w:rsidRPr="00DF37C2">
        <w:rPr>
          <w:lang w:val="en-US"/>
        </w:rPr>
        <w:t>Abrahan</w:t>
      </w:r>
      <w:proofErr w:type="spellEnd"/>
      <w:r w:rsidRPr="00DF37C2">
        <w:rPr>
          <w:lang w:val="en-US"/>
        </w:rPr>
        <w:t xml:space="preserve"> Molina-Mendoza</w:t>
      </w:r>
      <w:r w:rsidRPr="00A051EC">
        <w:rPr>
          <w:rStyle w:val="indice"/>
          <w:vertAlign w:val="superscript"/>
          <w:lang w:val="en-US"/>
        </w:rPr>
        <w:t>1</w:t>
      </w:r>
      <w:r w:rsidRPr="00DF37C2">
        <w:rPr>
          <w:lang w:val="en-US"/>
        </w:rPr>
        <w:t xml:space="preserve">, </w:t>
      </w:r>
      <w:proofErr w:type="spellStart"/>
      <w:r w:rsidRPr="00DF37C2">
        <w:rPr>
          <w:lang w:val="en-US"/>
        </w:rPr>
        <w:t>Séverine</w:t>
      </w:r>
      <w:proofErr w:type="spellEnd"/>
      <w:r w:rsidRPr="00DF37C2">
        <w:rPr>
          <w:lang w:val="en-US"/>
        </w:rPr>
        <w:t xml:space="preserve"> Commet</w:t>
      </w:r>
      <w:r w:rsidRPr="00A051EC">
        <w:rPr>
          <w:rStyle w:val="indice"/>
          <w:vertAlign w:val="superscript"/>
          <w:lang w:val="en-US"/>
        </w:rPr>
        <w:t>1, 3, 4</w:t>
      </w:r>
      <w:r w:rsidRPr="00DF37C2">
        <w:rPr>
          <w:lang w:val="en-US"/>
        </w:rPr>
        <w:t>, Nadia Guegannic</w:t>
      </w:r>
      <w:r w:rsidRPr="00A051EC">
        <w:rPr>
          <w:rStyle w:val="indice"/>
          <w:vertAlign w:val="superscript"/>
          <w:lang w:val="en-US"/>
        </w:rPr>
        <w:t>1, 3, 4</w:t>
      </w:r>
      <w:r w:rsidRPr="00DF37C2">
        <w:rPr>
          <w:lang w:val="en-US"/>
        </w:rPr>
        <w:t>, Corinne Tous</w:t>
      </w:r>
      <w:r w:rsidRPr="00A051EC">
        <w:rPr>
          <w:rStyle w:val="indice"/>
          <w:vertAlign w:val="superscript"/>
          <w:lang w:val="en-US"/>
        </w:rPr>
        <w:t>1, 3, 4</w:t>
      </w:r>
      <w:r w:rsidRPr="00DF37C2">
        <w:rPr>
          <w:lang w:val="en-US"/>
        </w:rPr>
        <w:t>, David Rombaut</w:t>
      </w:r>
      <w:r w:rsidRPr="00A051EC">
        <w:rPr>
          <w:rStyle w:val="indice"/>
          <w:vertAlign w:val="superscript"/>
          <w:lang w:val="en-US"/>
        </w:rPr>
        <w:t>5</w:t>
      </w:r>
      <w:r w:rsidRPr="00DF37C2">
        <w:rPr>
          <w:lang w:val="en-US"/>
        </w:rPr>
        <w:t>, Laurent Corcos</w:t>
      </w:r>
      <w:r w:rsidRPr="00A051EC">
        <w:rPr>
          <w:rStyle w:val="indice"/>
          <w:vertAlign w:val="superscript"/>
          <w:lang w:val="en-US"/>
        </w:rPr>
        <w:t>1</w:t>
      </w:r>
      <w:r w:rsidRPr="00DF37C2">
        <w:rPr>
          <w:lang w:val="en-US"/>
        </w:rPr>
        <w:t>, Michaela Fontenay</w:t>
      </w:r>
      <w:r w:rsidRPr="00A051EC">
        <w:rPr>
          <w:rStyle w:val="indice"/>
          <w:vertAlign w:val="superscript"/>
          <w:lang w:val="en-US"/>
        </w:rPr>
        <w:t>5</w:t>
      </w:r>
      <w:r w:rsidRPr="00DF37C2">
        <w:rPr>
          <w:lang w:val="en-US"/>
        </w:rPr>
        <w:t>, Nathalie Douet-Guilbert</w:t>
      </w:r>
      <w:r w:rsidRPr="00A051EC">
        <w:rPr>
          <w:rStyle w:val="indice"/>
          <w:vertAlign w:val="superscript"/>
          <w:lang w:val="en-US"/>
        </w:rPr>
        <w:t>1, 3, 4</w:t>
      </w:r>
      <w:r>
        <w:rPr>
          <w:rStyle w:val="indice"/>
          <w:vertAlign w:val="superscript"/>
          <w:lang w:val="en-US"/>
        </w:rPr>
        <w:t xml:space="preserve">, </w:t>
      </w:r>
      <w:r w:rsidRPr="00DF37C2">
        <w:rPr>
          <w:lang w:val="en-US"/>
        </w:rPr>
        <w:t>Marie-</w:t>
      </w:r>
      <w:proofErr w:type="spellStart"/>
      <w:r w:rsidRPr="00DF37C2">
        <w:rPr>
          <w:lang w:val="en-US"/>
        </w:rPr>
        <w:t>Bérengère</w:t>
      </w:r>
      <w:proofErr w:type="spellEnd"/>
      <w:r w:rsidRPr="00DF37C2">
        <w:rPr>
          <w:lang w:val="en-US"/>
        </w:rPr>
        <w:t xml:space="preserve"> Troadec</w:t>
      </w:r>
      <w:r w:rsidRPr="00A051EC">
        <w:rPr>
          <w:rStyle w:val="indice"/>
          <w:vertAlign w:val="superscript"/>
          <w:lang w:val="en-US"/>
        </w:rPr>
        <w:t>1, 3, 4,*</w:t>
      </w:r>
    </w:p>
    <w:p w:rsidR="00EC66C0" w:rsidRPr="00A051EC" w:rsidRDefault="00EC66C0" w:rsidP="00EC66C0">
      <w:pPr>
        <w:jc w:val="both"/>
        <w:rPr>
          <w:rStyle w:val="position"/>
          <w:lang w:val="en-US"/>
        </w:rPr>
      </w:pPr>
    </w:p>
    <w:p w:rsidR="00EC66C0" w:rsidRDefault="00EC66C0" w:rsidP="00EC66C0">
      <w:pPr>
        <w:jc w:val="both"/>
      </w:pPr>
      <w:r>
        <w:rPr>
          <w:rStyle w:val="position"/>
        </w:rPr>
        <w:t>1 : </w:t>
      </w:r>
      <w:r>
        <w:rPr>
          <w:rStyle w:val="name"/>
        </w:rPr>
        <w:t>Génétique, génomique fonctionnelle et biotechnologies (UMR 1078)</w:t>
      </w:r>
      <w:r>
        <w:t xml:space="preserve"> - EFS, Université de Brest, Institut National de la Santé et de la Recherche Médicale, Institut Brestois Santé Agro Matière - France</w:t>
      </w:r>
    </w:p>
    <w:p w:rsidR="00EC66C0" w:rsidRPr="00DF37C2" w:rsidRDefault="00EC66C0" w:rsidP="00EC66C0">
      <w:pPr>
        <w:jc w:val="both"/>
        <w:rPr>
          <w:lang w:val="en-US"/>
        </w:rPr>
      </w:pPr>
      <w:proofErr w:type="gramStart"/>
      <w:r w:rsidRPr="00DF37C2">
        <w:rPr>
          <w:rStyle w:val="position"/>
          <w:lang w:val="en-US"/>
        </w:rPr>
        <w:t>2 :</w:t>
      </w:r>
      <w:proofErr w:type="gramEnd"/>
      <w:r w:rsidRPr="00DF37C2">
        <w:rPr>
          <w:rStyle w:val="position"/>
          <w:lang w:val="en-US"/>
        </w:rPr>
        <w:t> </w:t>
      </w:r>
      <w:r w:rsidRPr="00DF37C2">
        <w:rPr>
          <w:rStyle w:val="name"/>
          <w:lang w:val="en-US"/>
        </w:rPr>
        <w:t>Department of Hematology, The First Hospital of Jilin University, Changchun</w:t>
      </w:r>
      <w:r w:rsidRPr="00DF37C2">
        <w:rPr>
          <w:lang w:val="en-US"/>
        </w:rPr>
        <w:t xml:space="preserve"> </w:t>
      </w:r>
      <w:r>
        <w:rPr>
          <w:lang w:val="en-US"/>
        </w:rPr>
        <w:t>- Chine</w:t>
      </w:r>
    </w:p>
    <w:p w:rsidR="00EC66C0" w:rsidRDefault="00EC66C0" w:rsidP="00EC66C0">
      <w:pPr>
        <w:jc w:val="both"/>
      </w:pPr>
      <w:r>
        <w:rPr>
          <w:rStyle w:val="position"/>
        </w:rPr>
        <w:t>3 : </w:t>
      </w:r>
      <w:r>
        <w:rPr>
          <w:rStyle w:val="name"/>
        </w:rPr>
        <w:t>CHRU Brest, Service de génétique, laboratoire de génétique chromosomique, Brest, France</w:t>
      </w:r>
    </w:p>
    <w:p w:rsidR="00EC66C0" w:rsidRDefault="00EC66C0" w:rsidP="00EC66C0">
      <w:pPr>
        <w:jc w:val="both"/>
      </w:pPr>
      <w:r>
        <w:t>Centre Hospitalier Régional Universitaire de Brest - France</w:t>
      </w:r>
    </w:p>
    <w:p w:rsidR="00EC66C0" w:rsidRDefault="00EC66C0" w:rsidP="00EC66C0">
      <w:pPr>
        <w:jc w:val="both"/>
      </w:pPr>
      <w:r>
        <w:rPr>
          <w:rStyle w:val="position"/>
        </w:rPr>
        <w:t>4 : </w:t>
      </w:r>
      <w:r>
        <w:rPr>
          <w:rStyle w:val="name"/>
        </w:rPr>
        <w:t>CHRU Brest, Centre de Ressources biologiques - site de génétique chromosomique, Brest, France</w:t>
      </w:r>
      <w:r>
        <w:t xml:space="preserve"> - Centre Hospitalier Régional Universitaire de Brest - France</w:t>
      </w:r>
    </w:p>
    <w:p w:rsidR="00EC66C0" w:rsidRDefault="00EC66C0" w:rsidP="00EC66C0">
      <w:pPr>
        <w:jc w:val="both"/>
      </w:pPr>
      <w:r>
        <w:rPr>
          <w:rStyle w:val="position"/>
        </w:rPr>
        <w:t>5 : </w:t>
      </w:r>
      <w:r>
        <w:rPr>
          <w:rStyle w:val="name"/>
        </w:rPr>
        <w:t>INSERM U1016, Centre National Recherche Scientifique (CNRS) UMR8104, Institut Cochin, Université de Paris, Paris, France</w:t>
      </w:r>
      <w:r>
        <w:t xml:space="preserve"> - Institut Cochin, INSERM U1016, UMR 8104 CNRS, Université de Paris - France</w:t>
      </w:r>
    </w:p>
    <w:p w:rsidR="00EC66C0" w:rsidRDefault="00EC66C0" w:rsidP="00EC66C0">
      <w:pPr>
        <w:jc w:val="both"/>
      </w:pPr>
      <w:r>
        <w:rPr>
          <w:rStyle w:val="position"/>
        </w:rPr>
        <w:t>* : </w:t>
      </w:r>
      <w:r>
        <w:rPr>
          <w:rStyle w:val="name"/>
        </w:rPr>
        <w:t>Auteur correspondant</w:t>
      </w:r>
      <w:r>
        <w:t xml:space="preserve"> </w:t>
      </w:r>
    </w:p>
    <w:p w:rsidR="00EC66C0" w:rsidRDefault="00EC66C0" w:rsidP="00EC66C0"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D1B6" wp14:editId="2132D9EF">
                <wp:simplePos x="0" y="0"/>
                <wp:positionH relativeFrom="column">
                  <wp:posOffset>0</wp:posOffset>
                </wp:positionH>
                <wp:positionV relativeFrom="paragraph">
                  <wp:posOffset>173270</wp:posOffset>
                </wp:positionV>
                <wp:extent cx="5791200" cy="0"/>
                <wp:effectExtent l="0" t="0" r="12700" b="12700"/>
                <wp:wrapNone/>
                <wp:docPr id="747060885" name="Connecteur droit 747060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D6989" id="Connecteur droit 7470608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5pt" to="45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C66C0" w:rsidRPr="00DF37C2" w:rsidRDefault="00EC66C0" w:rsidP="00EC66C0">
      <w:pPr>
        <w:pStyle w:val="NormalWeb"/>
        <w:jc w:val="both"/>
        <w:rPr>
          <w:lang w:val="en-US"/>
        </w:rPr>
      </w:pPr>
      <w:r w:rsidRPr="00DF37C2">
        <w:rPr>
          <w:lang w:val="en-US"/>
        </w:rPr>
        <w:t xml:space="preserve">Myelodysplastic Neoplasms (MDS) are acquired malignant clonal diseases originating in the bone marrow. Their main features are inefficient hematopoiesis, leading to one or more </w:t>
      </w:r>
      <w:proofErr w:type="spellStart"/>
      <w:r w:rsidRPr="00DF37C2">
        <w:rPr>
          <w:lang w:val="en-US"/>
        </w:rPr>
        <w:t>cytopenias</w:t>
      </w:r>
      <w:proofErr w:type="spellEnd"/>
      <w:r w:rsidRPr="00DF37C2">
        <w:rPr>
          <w:lang w:val="en-US"/>
        </w:rPr>
        <w:t xml:space="preserve">, and to an increased risk of progression to acute myeloid leukemia. Chromosomal abnormalities are common in MDS, the most common being the partial deletion of the long arm of chromosome 5 (del(5q)). Alteration of the pre-mRNA splicing process is a key event in the pathogenesis of MDS.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is a gene encoding a splicing factor involved in maintaining the catalytic center of the spliceosome. This gene is located on chromosome region 5q and is deleted in 92% of del(5q) MDS patients. We hypothesize that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deletion represents a major player in the pathogenesis of del(5q) MDS and in the response to </w:t>
      </w:r>
      <w:proofErr w:type="spellStart"/>
      <w:r w:rsidRPr="00DF37C2">
        <w:rPr>
          <w:lang w:val="en-US"/>
        </w:rPr>
        <w:t>Lenalidomide</w:t>
      </w:r>
      <w:proofErr w:type="spellEnd"/>
      <w:r w:rsidRPr="00DF37C2">
        <w:rPr>
          <w:lang w:val="en-US"/>
        </w:rPr>
        <w:t>, the standard treatment of low-risk del(5q) MDS.</w:t>
      </w:r>
    </w:p>
    <w:p w:rsidR="00EC66C0" w:rsidRPr="00DF37C2" w:rsidRDefault="00EC66C0" w:rsidP="00EC66C0">
      <w:pPr>
        <w:pStyle w:val="NormalWeb"/>
        <w:jc w:val="both"/>
        <w:rPr>
          <w:lang w:val="en-US"/>
        </w:rPr>
      </w:pPr>
      <w:r w:rsidRPr="00DF37C2">
        <w:rPr>
          <w:lang w:val="en-US"/>
        </w:rPr>
        <w:lastRenderedPageBreak/>
        <w:t xml:space="preserve">In our cohort of del(5q) MDS patients, in which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is </w:t>
      </w:r>
      <w:proofErr w:type="spellStart"/>
      <w:r w:rsidRPr="00DF37C2">
        <w:rPr>
          <w:lang w:val="en-US"/>
        </w:rPr>
        <w:t>haploinsufficient</w:t>
      </w:r>
      <w:proofErr w:type="spellEnd"/>
      <w:r w:rsidRPr="00DF37C2">
        <w:rPr>
          <w:lang w:val="en-US"/>
        </w:rPr>
        <w:t xml:space="preserve">, as is </w:t>
      </w:r>
      <w:r w:rsidRPr="00DF37C2">
        <w:rPr>
          <w:i/>
          <w:iCs/>
          <w:lang w:val="en-US"/>
        </w:rPr>
        <w:t>RPS14</w:t>
      </w:r>
      <w:r w:rsidRPr="00DF37C2">
        <w:rPr>
          <w:lang w:val="en-US"/>
        </w:rPr>
        <w:t xml:space="preserve">, we have identified splicing abnormalities, including hundreds of alternative splicing events. We demonstrate that </w:t>
      </w:r>
      <w:proofErr w:type="spellStart"/>
      <w:r w:rsidRPr="00DF37C2">
        <w:rPr>
          <w:lang w:val="en-US"/>
        </w:rPr>
        <w:t>haploinsufficiency</w:t>
      </w:r>
      <w:proofErr w:type="spellEnd"/>
      <w:r w:rsidRPr="00DF37C2">
        <w:rPr>
          <w:lang w:val="en-US"/>
        </w:rPr>
        <w:t xml:space="preserve"> of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in human cord blood hematopoietic stem cells (HSC) leads to significant deregulation of gene expression and RNA splicing. Among dysregulated pathways, we focused on the </w:t>
      </w:r>
      <w:proofErr w:type="spellStart"/>
      <w:r w:rsidRPr="00DF37C2">
        <w:rPr>
          <w:lang w:val="en-US"/>
        </w:rPr>
        <w:t>lenalidomide</w:t>
      </w:r>
      <w:proofErr w:type="spellEnd"/>
      <w:r w:rsidRPr="00DF37C2">
        <w:rPr>
          <w:lang w:val="en-US"/>
        </w:rPr>
        <w:t xml:space="preserve"> pathway, the treatment of choice for low-risk del(5q) MDS. Depletion of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in MDS-L cells, a del(5q) MDS cell line, also leads to cell cycle blockade, impacting particularly the mitosis stage, inducing a slowdown in proliferation. In MDS-L cells depleted for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, we show an increase in the proportion of </w:t>
      </w:r>
      <w:proofErr w:type="spellStart"/>
      <w:r w:rsidRPr="00DF37C2">
        <w:rPr>
          <w:lang w:val="en-US"/>
        </w:rPr>
        <w:t>polyploid</w:t>
      </w:r>
      <w:proofErr w:type="spellEnd"/>
      <w:r w:rsidRPr="00DF37C2">
        <w:rPr>
          <w:lang w:val="en-US"/>
        </w:rPr>
        <w:t xml:space="preserve"> cells, not associated with megakaryocytic differentiation. Importantly, our data demonstrate that cells depleted for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are more sensitive to </w:t>
      </w:r>
      <w:proofErr w:type="spellStart"/>
      <w:r w:rsidRPr="00DF37C2">
        <w:rPr>
          <w:lang w:val="en-US"/>
        </w:rPr>
        <w:t>lenalidomide</w:t>
      </w:r>
      <w:proofErr w:type="spellEnd"/>
      <w:r w:rsidRPr="00DF37C2">
        <w:rPr>
          <w:lang w:val="en-US"/>
        </w:rPr>
        <w:t xml:space="preserve">, increasing their differentiation into megakaryocytes and the apoptosis of these cells. Altogether, our results on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depletion, in human HSC and in MDS cell line, mimics the del(5q) MDS blast's phenotype. Thus, </w:t>
      </w:r>
      <w:r w:rsidRPr="00DF37C2">
        <w:rPr>
          <w:i/>
          <w:iCs/>
          <w:lang w:val="en-US"/>
        </w:rPr>
        <w:t>RBM22</w:t>
      </w:r>
      <w:r w:rsidRPr="00DF37C2">
        <w:rPr>
          <w:lang w:val="en-US"/>
        </w:rPr>
        <w:t xml:space="preserve"> deletion plays a key role in the pathogenesis of del(5q) MDS, and in the response to </w:t>
      </w:r>
      <w:proofErr w:type="spellStart"/>
      <w:r w:rsidRPr="00DF37C2">
        <w:rPr>
          <w:lang w:val="en-US"/>
        </w:rPr>
        <w:t>lenalidomide</w:t>
      </w:r>
      <w:proofErr w:type="spellEnd"/>
      <w:r w:rsidRPr="00DF37C2">
        <w:rPr>
          <w:lang w:val="en-US"/>
        </w:rPr>
        <w:t>. </w:t>
      </w:r>
    </w:p>
    <w:p w:rsidR="00345828" w:rsidRPr="00EC66C0" w:rsidRDefault="00345828" w:rsidP="00EC66C0">
      <w:bookmarkStart w:id="0" w:name="_GoBack"/>
      <w:bookmarkEnd w:id="0"/>
    </w:p>
    <w:sectPr w:rsidR="00345828" w:rsidRPr="00EC66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F5" w:rsidRDefault="00DE31F5" w:rsidP="007A7DC4">
      <w:r>
        <w:separator/>
      </w:r>
    </w:p>
  </w:endnote>
  <w:endnote w:type="continuationSeparator" w:id="0">
    <w:p w:rsidR="00DE31F5" w:rsidRDefault="00DE31F5" w:rsidP="007A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-6985</wp:posOffset>
          </wp:positionV>
          <wp:extent cx="6512560" cy="1209675"/>
          <wp:effectExtent l="0" t="0" r="2540" b="9525"/>
          <wp:wrapTight wrapText="bothSides">
            <wp:wrapPolygon edited="0">
              <wp:start x="0" y="0"/>
              <wp:lineTo x="0" y="21430"/>
              <wp:lineTo x="21545" y="21430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onsors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56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F5" w:rsidRDefault="00DE31F5" w:rsidP="007A7DC4">
      <w:r>
        <w:separator/>
      </w:r>
    </w:p>
  </w:footnote>
  <w:footnote w:type="continuationSeparator" w:id="0">
    <w:p w:rsidR="00DE31F5" w:rsidRDefault="00DE31F5" w:rsidP="007A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C4" w:rsidRDefault="007A7DC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676525"/>
          <wp:effectExtent l="0" t="0" r="0" b="9525"/>
          <wp:wrapThrough wrapText="bothSides">
            <wp:wrapPolygon edited="0">
              <wp:start x="0" y="0"/>
              <wp:lineTo x="0" y="21523"/>
              <wp:lineTo x="21544" y="21523"/>
              <wp:lineTo x="2154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CHO 2023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267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DC4" w:rsidRDefault="007A7D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4"/>
    <w:rsid w:val="0008718E"/>
    <w:rsid w:val="000C37EB"/>
    <w:rsid w:val="000F73AA"/>
    <w:rsid w:val="001B113F"/>
    <w:rsid w:val="001F1CF6"/>
    <w:rsid w:val="001F70C7"/>
    <w:rsid w:val="00345828"/>
    <w:rsid w:val="004D01DE"/>
    <w:rsid w:val="00764A42"/>
    <w:rsid w:val="0077699E"/>
    <w:rsid w:val="007A7DC4"/>
    <w:rsid w:val="007F08A4"/>
    <w:rsid w:val="00821A03"/>
    <w:rsid w:val="00961749"/>
    <w:rsid w:val="00961BCC"/>
    <w:rsid w:val="00A07F32"/>
    <w:rsid w:val="00A453D1"/>
    <w:rsid w:val="00A64FB3"/>
    <w:rsid w:val="00A97618"/>
    <w:rsid w:val="00D05143"/>
    <w:rsid w:val="00D2136C"/>
    <w:rsid w:val="00DE31F5"/>
    <w:rsid w:val="00EC66C0"/>
    <w:rsid w:val="00F51F8F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4977-CD75-4EDF-A7D7-39F847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7A7DC4"/>
  </w:style>
  <w:style w:type="paragraph" w:styleId="Pieddepage">
    <w:name w:val="footer"/>
    <w:basedOn w:val="Normal"/>
    <w:link w:val="PieddepageCar"/>
    <w:uiPriority w:val="99"/>
    <w:unhideWhenUsed/>
    <w:rsid w:val="007A7D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7DC4"/>
  </w:style>
  <w:style w:type="character" w:customStyle="1" w:styleId="position">
    <w:name w:val="position"/>
    <w:basedOn w:val="Policepardfaut"/>
    <w:rsid w:val="007A7DC4"/>
  </w:style>
  <w:style w:type="character" w:customStyle="1" w:styleId="name">
    <w:name w:val="name"/>
    <w:basedOn w:val="Policepardfaut"/>
    <w:rsid w:val="007A7DC4"/>
  </w:style>
  <w:style w:type="paragraph" w:styleId="NormalWeb">
    <w:name w:val="Normal (Web)"/>
    <w:basedOn w:val="Normal"/>
    <w:uiPriority w:val="99"/>
    <w:unhideWhenUsed/>
    <w:rsid w:val="007A7DC4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Accentuation">
    <w:name w:val="Emphasis"/>
    <w:basedOn w:val="Policepardfaut"/>
    <w:uiPriority w:val="20"/>
    <w:qFormat/>
    <w:rsid w:val="007A7DC4"/>
    <w:rPr>
      <w:i/>
      <w:iCs/>
    </w:rPr>
  </w:style>
  <w:style w:type="character" w:customStyle="1" w:styleId="indice">
    <w:name w:val="indice"/>
    <w:basedOn w:val="Policepardfaut"/>
    <w:rsid w:val="007A7DC4"/>
  </w:style>
  <w:style w:type="character" w:styleId="lev">
    <w:name w:val="Strong"/>
    <w:basedOn w:val="Policepardfaut"/>
    <w:uiPriority w:val="22"/>
    <w:qFormat/>
    <w:rsid w:val="007F0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E11C-6F05-4539-A0F7-B35D2D4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Cailmail</dc:creator>
  <cp:keywords/>
  <dc:description/>
  <cp:lastModifiedBy>Stephane Cailmail</cp:lastModifiedBy>
  <cp:revision>2</cp:revision>
  <dcterms:created xsi:type="dcterms:W3CDTF">2023-12-05T16:07:00Z</dcterms:created>
  <dcterms:modified xsi:type="dcterms:W3CDTF">2023-12-05T16:07:00Z</dcterms:modified>
</cp:coreProperties>
</file>