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B8" w:rsidRPr="00E527D9" w:rsidRDefault="008123B8" w:rsidP="008123B8">
      <w:pPr>
        <w:jc w:val="center"/>
        <w:rPr>
          <w:b/>
          <w:bCs/>
          <w:color w:val="000000" w:themeColor="text1"/>
          <w:lang w:val="en-HK"/>
        </w:rPr>
      </w:pPr>
      <w:r w:rsidRPr="00E527D9">
        <w:rPr>
          <w:b/>
          <w:bCs/>
          <w:color w:val="000000" w:themeColor="text1"/>
          <w:lang w:val="en-US"/>
        </w:rPr>
        <w:t xml:space="preserve">POSTER 32: </w:t>
      </w:r>
      <w:r w:rsidRPr="00E527D9">
        <w:rPr>
          <w:b/>
          <w:bCs/>
          <w:color w:val="000000" w:themeColor="text1"/>
          <w:lang w:val="en-HK"/>
        </w:rPr>
        <w:t xml:space="preserve">Impact of the germline mutation </w:t>
      </w:r>
      <w:r w:rsidRPr="00E527D9">
        <w:rPr>
          <w:b/>
          <w:bCs/>
          <w:i/>
          <w:iCs/>
          <w:color w:val="000000" w:themeColor="text1"/>
          <w:lang w:val="en-HK"/>
        </w:rPr>
        <w:t>GATA2</w:t>
      </w:r>
      <w:r w:rsidRPr="00E527D9">
        <w:rPr>
          <w:b/>
          <w:bCs/>
          <w:color w:val="000000" w:themeColor="text1"/>
          <w:vertAlign w:val="superscript"/>
          <w:lang w:val="en-HK"/>
        </w:rPr>
        <w:t>R396Q</w:t>
      </w:r>
      <w:r w:rsidRPr="00E527D9">
        <w:rPr>
          <w:b/>
          <w:bCs/>
          <w:color w:val="000000" w:themeColor="text1"/>
          <w:lang w:val="en-HK"/>
        </w:rPr>
        <w:t xml:space="preserve"> in leukemic initiation and study of its cooperation with </w:t>
      </w:r>
      <w:r w:rsidRPr="00E527D9">
        <w:rPr>
          <w:b/>
          <w:bCs/>
          <w:i/>
          <w:iCs/>
          <w:color w:val="000000" w:themeColor="text1"/>
          <w:lang w:val="en-HK"/>
        </w:rPr>
        <w:t>ASXL1</w:t>
      </w:r>
      <w:r w:rsidRPr="00E527D9">
        <w:rPr>
          <w:b/>
          <w:bCs/>
          <w:color w:val="000000" w:themeColor="text1"/>
          <w:lang w:val="en-HK"/>
        </w:rPr>
        <w:t xml:space="preserve"> somatic mutations in leukemic transformation</w:t>
      </w:r>
    </w:p>
    <w:p w:rsidR="008123B8" w:rsidRPr="00E527D9" w:rsidRDefault="008123B8" w:rsidP="008123B8">
      <w:pPr>
        <w:pStyle w:val="Sansinterligne"/>
        <w:jc w:val="both"/>
        <w:rPr>
          <w:color w:val="000000" w:themeColor="text1"/>
          <w:sz w:val="24"/>
          <w:szCs w:val="24"/>
          <w:lang w:val="en-HK"/>
        </w:rPr>
      </w:pPr>
    </w:p>
    <w:p w:rsidR="008123B8" w:rsidRPr="00E527D9" w:rsidRDefault="008123B8" w:rsidP="008123B8">
      <w:pPr>
        <w:jc w:val="both"/>
        <w:rPr>
          <w:color w:val="000000" w:themeColor="text1"/>
          <w:lang w:val="en-HK"/>
        </w:rPr>
      </w:pPr>
      <w:proofErr w:type="spellStart"/>
      <w:r w:rsidRPr="00E527D9">
        <w:rPr>
          <w:b/>
          <w:bCs/>
          <w:color w:val="000000" w:themeColor="text1"/>
          <w:u w:val="single"/>
          <w:lang w:val="en-HK"/>
        </w:rPr>
        <w:t>Esmaa</w:t>
      </w:r>
      <w:proofErr w:type="spellEnd"/>
      <w:r w:rsidRPr="00E527D9">
        <w:rPr>
          <w:b/>
          <w:bCs/>
          <w:color w:val="000000" w:themeColor="text1"/>
          <w:u w:val="single"/>
          <w:lang w:val="en-HK"/>
        </w:rPr>
        <w:t xml:space="preserve"> Sellam</w:t>
      </w:r>
      <w:r w:rsidRPr="00E527D9">
        <w:rPr>
          <w:b/>
          <w:bCs/>
          <w:color w:val="000000" w:themeColor="text1"/>
          <w:u w:val="single"/>
          <w:vertAlign w:val="superscript"/>
          <w:lang w:val="en-HK"/>
        </w:rPr>
        <w:t>1</w:t>
      </w:r>
      <w:r w:rsidRPr="00E527D9">
        <w:rPr>
          <w:color w:val="000000" w:themeColor="text1"/>
          <w:lang w:val="en-HK"/>
        </w:rPr>
        <w:t>, Laetitia Largeaud</w:t>
      </w:r>
      <w:r w:rsidRPr="00E527D9">
        <w:rPr>
          <w:color w:val="000000" w:themeColor="text1"/>
          <w:vertAlign w:val="superscript"/>
          <w:lang w:val="en-HK"/>
        </w:rPr>
        <w:t>1,2</w:t>
      </w:r>
      <w:r w:rsidRPr="00E527D9">
        <w:rPr>
          <w:color w:val="000000" w:themeColor="text1"/>
          <w:lang w:val="en-HK"/>
        </w:rPr>
        <w:t>, Camille Hamelle</w:t>
      </w:r>
      <w:r w:rsidRPr="00E527D9">
        <w:rPr>
          <w:color w:val="000000" w:themeColor="text1"/>
          <w:vertAlign w:val="superscript"/>
          <w:lang w:val="en-HK"/>
        </w:rPr>
        <w:t>1</w:t>
      </w:r>
      <w:r w:rsidRPr="00E527D9">
        <w:rPr>
          <w:color w:val="000000" w:themeColor="text1"/>
          <w:lang w:val="en-HK"/>
        </w:rPr>
        <w:t>, Laura Jamrog</w:t>
      </w:r>
      <w:r w:rsidRPr="00E527D9">
        <w:rPr>
          <w:color w:val="000000" w:themeColor="text1"/>
          <w:vertAlign w:val="superscript"/>
          <w:lang w:val="en-HK"/>
        </w:rPr>
        <w:t>1</w:t>
      </w:r>
      <w:r w:rsidRPr="00E527D9">
        <w:rPr>
          <w:color w:val="000000" w:themeColor="text1"/>
          <w:lang w:val="en-HK"/>
        </w:rPr>
        <w:t>, Vincent Fregona</w:t>
      </w:r>
      <w:r w:rsidRPr="00E527D9">
        <w:rPr>
          <w:color w:val="000000" w:themeColor="text1"/>
          <w:vertAlign w:val="superscript"/>
          <w:lang w:val="en-HK"/>
        </w:rPr>
        <w:t>1</w:t>
      </w:r>
      <w:r w:rsidRPr="00E527D9">
        <w:rPr>
          <w:color w:val="000000" w:themeColor="text1"/>
          <w:lang w:val="en-HK"/>
        </w:rPr>
        <w:t xml:space="preserve">, </w:t>
      </w:r>
      <w:proofErr w:type="spellStart"/>
      <w:r w:rsidRPr="00E527D9">
        <w:rPr>
          <w:color w:val="000000" w:themeColor="text1"/>
          <w:lang w:val="en-HK"/>
        </w:rPr>
        <w:t>Manon</w:t>
      </w:r>
      <w:proofErr w:type="spellEnd"/>
      <w:r w:rsidRPr="00E527D9">
        <w:rPr>
          <w:color w:val="000000" w:themeColor="text1"/>
          <w:lang w:val="en-HK"/>
        </w:rPr>
        <w:t xml:space="preserve"> Bayet</w:t>
      </w:r>
      <w:proofErr w:type="gramStart"/>
      <w:r w:rsidRPr="00E527D9">
        <w:rPr>
          <w:color w:val="000000" w:themeColor="text1"/>
          <w:vertAlign w:val="superscript"/>
          <w:lang w:val="en-HK"/>
        </w:rPr>
        <w:t xml:space="preserve">1 </w:t>
      </w:r>
      <w:r w:rsidRPr="00E527D9">
        <w:rPr>
          <w:color w:val="000000" w:themeColor="text1"/>
          <w:lang w:val="en-HK"/>
        </w:rPr>
        <w:t>,</w:t>
      </w:r>
      <w:proofErr w:type="gramEnd"/>
      <w:r w:rsidRPr="00E527D9">
        <w:rPr>
          <w:color w:val="000000" w:themeColor="text1"/>
          <w:vertAlign w:val="superscript"/>
          <w:lang w:val="en-HK"/>
        </w:rPr>
        <w:t xml:space="preserve"> </w:t>
      </w:r>
      <w:r w:rsidRPr="00E527D9">
        <w:rPr>
          <w:color w:val="000000" w:themeColor="text1"/>
          <w:lang w:val="en-HK"/>
        </w:rPr>
        <w:t>Mathieu Bouttier</w:t>
      </w:r>
      <w:r w:rsidRPr="00E527D9">
        <w:rPr>
          <w:color w:val="000000" w:themeColor="text1"/>
          <w:vertAlign w:val="superscript"/>
          <w:lang w:val="en-HK"/>
        </w:rPr>
        <w:t>1</w:t>
      </w:r>
      <w:r w:rsidRPr="00E527D9">
        <w:rPr>
          <w:color w:val="000000" w:themeColor="text1"/>
          <w:lang w:val="en-HK"/>
        </w:rPr>
        <w:t xml:space="preserve">, </w:t>
      </w:r>
      <w:proofErr w:type="spellStart"/>
      <w:r w:rsidRPr="00E527D9">
        <w:rPr>
          <w:color w:val="000000" w:themeColor="text1"/>
          <w:lang w:val="en-HK"/>
        </w:rPr>
        <w:t>Naïs</w:t>
      </w:r>
      <w:proofErr w:type="spellEnd"/>
      <w:r w:rsidRPr="00E527D9">
        <w:rPr>
          <w:color w:val="000000" w:themeColor="text1"/>
          <w:lang w:val="en-HK"/>
        </w:rPr>
        <w:t xml:space="preserve"> Prade</w:t>
      </w:r>
      <w:r w:rsidRPr="00E527D9">
        <w:rPr>
          <w:color w:val="000000" w:themeColor="text1"/>
          <w:vertAlign w:val="superscript"/>
          <w:lang w:val="en-HK"/>
        </w:rPr>
        <w:t>1,2</w:t>
      </w:r>
      <w:r w:rsidRPr="00E527D9">
        <w:rPr>
          <w:color w:val="000000" w:themeColor="text1"/>
          <w:lang w:val="en-HK"/>
        </w:rPr>
        <w:t xml:space="preserve">, </w:t>
      </w:r>
      <w:proofErr w:type="spellStart"/>
      <w:r w:rsidRPr="00E527D9">
        <w:rPr>
          <w:color w:val="000000" w:themeColor="text1"/>
          <w:lang w:val="en-HK"/>
        </w:rPr>
        <w:t>Stéphanie</w:t>
      </w:r>
      <w:proofErr w:type="spellEnd"/>
      <w:r w:rsidRPr="00E527D9">
        <w:rPr>
          <w:color w:val="000000" w:themeColor="text1"/>
          <w:lang w:val="en-HK"/>
        </w:rPr>
        <w:t xml:space="preserve"> Lagarde</w:t>
      </w:r>
      <w:r w:rsidRPr="00E527D9">
        <w:rPr>
          <w:color w:val="000000" w:themeColor="text1"/>
          <w:vertAlign w:val="superscript"/>
          <w:lang w:val="en-HK"/>
        </w:rPr>
        <w:t>1,2</w:t>
      </w:r>
      <w:r w:rsidRPr="00E527D9">
        <w:rPr>
          <w:color w:val="000000" w:themeColor="text1"/>
          <w:lang w:val="en-HK"/>
        </w:rPr>
        <w:t>, Sylvie Hebrard</w:t>
      </w:r>
      <w:r w:rsidRPr="00E527D9">
        <w:rPr>
          <w:color w:val="000000" w:themeColor="text1"/>
          <w:vertAlign w:val="superscript"/>
          <w:lang w:val="en-HK"/>
        </w:rPr>
        <w:t>1</w:t>
      </w:r>
      <w:r w:rsidRPr="00E527D9">
        <w:rPr>
          <w:color w:val="000000" w:themeColor="text1"/>
          <w:lang w:val="en-HK"/>
        </w:rPr>
        <w:t>, Antoine Nouhaud</w:t>
      </w:r>
      <w:r w:rsidRPr="00E527D9">
        <w:rPr>
          <w:color w:val="000000" w:themeColor="text1"/>
          <w:vertAlign w:val="superscript"/>
          <w:lang w:val="en-HK"/>
        </w:rPr>
        <w:t>1</w:t>
      </w:r>
      <w:r w:rsidRPr="00E527D9">
        <w:rPr>
          <w:color w:val="000000" w:themeColor="text1"/>
          <w:lang w:val="en-HK"/>
        </w:rPr>
        <w:t xml:space="preserve">, </w:t>
      </w:r>
      <w:proofErr w:type="spellStart"/>
      <w:r w:rsidRPr="00E527D9">
        <w:rPr>
          <w:color w:val="000000" w:themeColor="text1"/>
          <w:lang w:val="en-HK"/>
        </w:rPr>
        <w:t>Bastien</w:t>
      </w:r>
      <w:proofErr w:type="spellEnd"/>
      <w:r w:rsidRPr="00E527D9">
        <w:rPr>
          <w:color w:val="000000" w:themeColor="text1"/>
          <w:lang w:val="en-HK"/>
        </w:rPr>
        <w:t xml:space="preserve"> Gerby</w:t>
      </w:r>
      <w:r w:rsidRPr="00E527D9">
        <w:rPr>
          <w:color w:val="000000" w:themeColor="text1"/>
          <w:vertAlign w:val="superscript"/>
          <w:lang w:val="en-HK"/>
        </w:rPr>
        <w:t xml:space="preserve">1 </w:t>
      </w:r>
      <w:r w:rsidRPr="00E527D9">
        <w:rPr>
          <w:color w:val="000000" w:themeColor="text1"/>
          <w:lang w:val="en-HK"/>
        </w:rPr>
        <w:t xml:space="preserve">, </w:t>
      </w:r>
      <w:proofErr w:type="spellStart"/>
      <w:r w:rsidRPr="00E527D9">
        <w:rPr>
          <w:color w:val="000000" w:themeColor="text1"/>
          <w:lang w:val="en-HK"/>
        </w:rPr>
        <w:t>Marlène</w:t>
      </w:r>
      <w:proofErr w:type="spellEnd"/>
      <w:r w:rsidRPr="00E527D9">
        <w:rPr>
          <w:color w:val="000000" w:themeColor="text1"/>
          <w:lang w:val="en-HK"/>
        </w:rPr>
        <w:t xml:space="preserve"> Pasquet</w:t>
      </w:r>
      <w:r w:rsidRPr="00E527D9">
        <w:rPr>
          <w:color w:val="000000" w:themeColor="text1"/>
          <w:vertAlign w:val="superscript"/>
          <w:lang w:val="en-HK"/>
        </w:rPr>
        <w:t>1,2</w:t>
      </w:r>
      <w:r w:rsidRPr="00E527D9">
        <w:rPr>
          <w:color w:val="000000" w:themeColor="text1"/>
          <w:lang w:val="en-HK"/>
        </w:rPr>
        <w:t>, Eric Delabesse</w:t>
      </w:r>
      <w:r w:rsidRPr="00E527D9">
        <w:rPr>
          <w:color w:val="000000" w:themeColor="text1"/>
          <w:vertAlign w:val="superscript"/>
          <w:lang w:val="en-HK"/>
        </w:rPr>
        <w:t>1,2</w:t>
      </w:r>
      <w:r w:rsidRPr="00E527D9">
        <w:rPr>
          <w:color w:val="000000" w:themeColor="text1"/>
          <w:lang w:val="en-HK"/>
        </w:rPr>
        <w:t xml:space="preserve"> , Christine Didier</w:t>
      </w:r>
      <w:r w:rsidRPr="00E527D9">
        <w:rPr>
          <w:color w:val="000000" w:themeColor="text1"/>
          <w:vertAlign w:val="superscript"/>
          <w:lang w:val="en-HK"/>
        </w:rPr>
        <w:t>1,*</w:t>
      </w:r>
      <w:r w:rsidRPr="00E527D9">
        <w:rPr>
          <w:color w:val="000000" w:themeColor="text1"/>
          <w:lang w:val="en-HK"/>
        </w:rPr>
        <w:t>, and Cyril Broccardo</w:t>
      </w:r>
      <w:r w:rsidRPr="00E527D9">
        <w:rPr>
          <w:color w:val="000000" w:themeColor="text1"/>
          <w:vertAlign w:val="superscript"/>
          <w:lang w:val="en-HK"/>
        </w:rPr>
        <w:t>1,*</w:t>
      </w:r>
      <w:r w:rsidRPr="00E527D9">
        <w:rPr>
          <w:color w:val="000000" w:themeColor="text1"/>
          <w:lang w:val="en-HK"/>
        </w:rPr>
        <w:t>.</w:t>
      </w:r>
    </w:p>
    <w:p w:rsidR="008123B8" w:rsidRPr="005111DE" w:rsidRDefault="008123B8" w:rsidP="008123B8">
      <w:pPr>
        <w:ind w:left="-57"/>
        <w:jc w:val="both"/>
        <w:rPr>
          <w:bCs/>
          <w:color w:val="000000" w:themeColor="text1"/>
          <w:lang w:val="en-HK"/>
        </w:rPr>
      </w:pPr>
    </w:p>
    <w:p w:rsidR="008123B8" w:rsidRDefault="008123B8" w:rsidP="008123B8">
      <w:pPr>
        <w:ind w:left="-57"/>
        <w:jc w:val="both"/>
        <w:rPr>
          <w:bCs/>
          <w:color w:val="000000" w:themeColor="text1"/>
        </w:rPr>
      </w:pPr>
      <w:proofErr w:type="gramStart"/>
      <w:r w:rsidRPr="00E527D9">
        <w:rPr>
          <w:bCs/>
          <w:color w:val="000000" w:themeColor="text1"/>
        </w:rPr>
        <w:t>1:</w:t>
      </w:r>
      <w:proofErr w:type="gramEnd"/>
      <w:r w:rsidRPr="00E527D9">
        <w:rPr>
          <w:bCs/>
          <w:color w:val="000000" w:themeColor="text1"/>
        </w:rPr>
        <w:t xml:space="preserve"> Centre de Recherches en Cancérologie de Toulouse (CRCT) -</w:t>
      </w:r>
      <w:r>
        <w:rPr>
          <w:bCs/>
          <w:color w:val="000000" w:themeColor="text1"/>
        </w:rPr>
        <w:t xml:space="preserve"> </w:t>
      </w:r>
      <w:r w:rsidRPr="00E527D9">
        <w:rPr>
          <w:bCs/>
          <w:color w:val="000000" w:themeColor="text1"/>
        </w:rPr>
        <w:t>Université Paul Sabatier-INSERM (U1037)</w:t>
      </w:r>
    </w:p>
    <w:p w:rsidR="008123B8" w:rsidRPr="00E527D9" w:rsidRDefault="008123B8" w:rsidP="008123B8">
      <w:pPr>
        <w:ind w:left="-57"/>
        <w:jc w:val="both"/>
        <w:rPr>
          <w:bCs/>
          <w:color w:val="000000" w:themeColor="text1"/>
        </w:rPr>
      </w:pPr>
      <w:proofErr w:type="gramStart"/>
      <w:r w:rsidRPr="00E527D9">
        <w:rPr>
          <w:bCs/>
          <w:color w:val="000000" w:themeColor="text1"/>
        </w:rPr>
        <w:t>2:</w:t>
      </w:r>
      <w:proofErr w:type="gramEnd"/>
      <w:r w:rsidRPr="00E527D9">
        <w:rPr>
          <w:bCs/>
          <w:color w:val="000000" w:themeColor="text1"/>
        </w:rPr>
        <w:t xml:space="preserve"> Institut Universitaire du Cancer de Toulouse (IUCT)-CHU Toulouse</w:t>
      </w:r>
    </w:p>
    <w:p w:rsidR="008123B8" w:rsidRPr="00E527D9" w:rsidRDefault="008123B8" w:rsidP="008123B8"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BD67" wp14:editId="620C001E">
                <wp:simplePos x="0" y="0"/>
                <wp:positionH relativeFrom="column">
                  <wp:posOffset>-28049</wp:posOffset>
                </wp:positionH>
                <wp:positionV relativeFrom="paragraph">
                  <wp:posOffset>178879</wp:posOffset>
                </wp:positionV>
                <wp:extent cx="5791200" cy="0"/>
                <wp:effectExtent l="0" t="0" r="12700" b="12700"/>
                <wp:wrapNone/>
                <wp:docPr id="747060896" name="Connecteur droit 747060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7CDB9" id="Connecteur droit 7470608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4.1pt" to="453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8123B8" w:rsidRDefault="008123B8" w:rsidP="008123B8">
      <w:pPr>
        <w:jc w:val="both"/>
        <w:rPr>
          <w:lang w:val="en-US"/>
        </w:rPr>
      </w:pPr>
    </w:p>
    <w:p w:rsidR="008123B8" w:rsidRPr="00E527D9" w:rsidRDefault="008123B8" w:rsidP="008123B8">
      <w:pPr>
        <w:jc w:val="both"/>
        <w:rPr>
          <w:lang w:val="en-US"/>
        </w:rPr>
      </w:pPr>
      <w:r w:rsidRPr="00E527D9">
        <w:rPr>
          <w:lang w:val="en-US"/>
        </w:rPr>
        <w:t xml:space="preserve">Hematological malignancies result from genetic alterations in hematopoietic stem and progenitor cells (HSPC). While most cases occur </w:t>
      </w:r>
      <w:r w:rsidRPr="00E527D9">
        <w:rPr>
          <w:i/>
          <w:lang w:val="en-US"/>
        </w:rPr>
        <w:t>de novo</w:t>
      </w:r>
      <w:r w:rsidRPr="00E527D9">
        <w:rPr>
          <w:lang w:val="en-US"/>
        </w:rPr>
        <w:t>, inherited mutations in GATA2, a gene crucial for blood cell production, have been identified through genome sequencing. We identified the GATA2</w:t>
      </w:r>
      <w:r w:rsidRPr="00E527D9">
        <w:rPr>
          <w:vertAlign w:val="superscript"/>
          <w:lang w:val="en-US"/>
        </w:rPr>
        <w:t>R396Q</w:t>
      </w:r>
      <w:r w:rsidRPr="00E527D9">
        <w:rPr>
          <w:lang w:val="en-US"/>
        </w:rPr>
        <w:t xml:space="preserve"> germline mutation in a family with a high incidence of Acute Myeloid Leukemia/Myelodysplastic Syndrome (AML/MDS). To study this mutation, we developed a mouse model carrying the Gata2</w:t>
      </w:r>
      <w:r w:rsidRPr="00E527D9">
        <w:rPr>
          <w:vertAlign w:val="superscript"/>
          <w:lang w:val="en-US"/>
        </w:rPr>
        <w:t>R396Q</w:t>
      </w:r>
      <w:r w:rsidRPr="00E527D9">
        <w:rPr>
          <w:lang w:val="en-US"/>
        </w:rPr>
        <w:t xml:space="preserve"> mutation. These mice demonstrated altered distribution of HSPC subpopulations, which exhibited functional abnormalities. The GATA2</w:t>
      </w:r>
      <w:r w:rsidRPr="00E527D9">
        <w:rPr>
          <w:vertAlign w:val="superscript"/>
          <w:lang w:val="en-US"/>
        </w:rPr>
        <w:t>R396Q</w:t>
      </w:r>
      <w:r w:rsidRPr="00E527D9">
        <w:rPr>
          <w:lang w:val="en-US"/>
        </w:rPr>
        <w:t xml:space="preserve"> mutation affects the second zinc finger of GATA2, implicated in DNA and protein interactions. To investigate DNA binding and </w:t>
      </w:r>
      <w:proofErr w:type="spellStart"/>
      <w:r w:rsidRPr="00E527D9">
        <w:rPr>
          <w:lang w:val="en-US"/>
        </w:rPr>
        <w:t>proteic</w:t>
      </w:r>
      <w:proofErr w:type="spellEnd"/>
      <w:r w:rsidRPr="00E527D9">
        <w:rPr>
          <w:lang w:val="en-US"/>
        </w:rPr>
        <w:t xml:space="preserve"> complex formation, we used the </w:t>
      </w:r>
      <w:proofErr w:type="spellStart"/>
      <w:r w:rsidRPr="00E527D9">
        <w:rPr>
          <w:lang w:val="en-US"/>
        </w:rPr>
        <w:t>Cut&amp;Run</w:t>
      </w:r>
      <w:proofErr w:type="spellEnd"/>
      <w:r w:rsidRPr="00E527D9">
        <w:rPr>
          <w:lang w:val="en-US"/>
        </w:rPr>
        <w:t xml:space="preserve"> and Bio-ID techniques. Preliminary results reveal distinct DNA binding patterns between GATA2</w:t>
      </w:r>
      <w:r w:rsidRPr="00E527D9">
        <w:rPr>
          <w:vertAlign w:val="superscript"/>
          <w:lang w:val="en-US"/>
        </w:rPr>
        <w:t>WT</w:t>
      </w:r>
      <w:r w:rsidRPr="00E527D9">
        <w:rPr>
          <w:lang w:val="en-US"/>
        </w:rPr>
        <w:t xml:space="preserve"> and GATA2</w:t>
      </w:r>
      <w:r w:rsidRPr="00E527D9">
        <w:rPr>
          <w:vertAlign w:val="superscript"/>
          <w:lang w:val="en-US"/>
        </w:rPr>
        <w:t>R396Q</w:t>
      </w:r>
      <w:r w:rsidRPr="00E527D9">
        <w:rPr>
          <w:lang w:val="en-US"/>
        </w:rPr>
        <w:t xml:space="preserve">. </w:t>
      </w:r>
    </w:p>
    <w:p w:rsidR="00345828" w:rsidRPr="008123B8" w:rsidRDefault="008123B8" w:rsidP="00CD4230">
      <w:pPr>
        <w:jc w:val="both"/>
      </w:pPr>
      <w:r w:rsidRPr="00E527D9">
        <w:rPr>
          <w:lang w:val="en-US"/>
        </w:rPr>
        <w:t>Gata2</w:t>
      </w:r>
      <w:r w:rsidRPr="00E527D9">
        <w:rPr>
          <w:vertAlign w:val="superscript"/>
          <w:lang w:val="en-US"/>
        </w:rPr>
        <w:t xml:space="preserve">R396Q/+ </w:t>
      </w:r>
      <w:r w:rsidRPr="00E527D9">
        <w:rPr>
          <w:lang w:val="en-US"/>
        </w:rPr>
        <w:t xml:space="preserve">mice do not develop AML or MDS, indicating the need for additional genetic changes to induce leukemic transformation, as in GATA2-mutated patients. </w:t>
      </w:r>
      <w:r w:rsidRPr="00E527D9">
        <w:rPr>
          <w:i/>
          <w:lang w:val="en-US"/>
        </w:rPr>
        <w:t>Asxl1</w:t>
      </w:r>
      <w:r w:rsidRPr="00E527D9">
        <w:rPr>
          <w:lang w:val="en-US"/>
        </w:rPr>
        <w:t xml:space="preserve"> alteration is one of the most frequent event. To explore the cooperative events during malignant transformation, we employed </w:t>
      </w:r>
      <w:proofErr w:type="spellStart"/>
      <w:r w:rsidRPr="00E527D9">
        <w:rPr>
          <w:lang w:val="en-US"/>
        </w:rPr>
        <w:t>shRNAs</w:t>
      </w:r>
      <w:proofErr w:type="spellEnd"/>
      <w:r w:rsidRPr="00E527D9">
        <w:rPr>
          <w:lang w:val="en-US"/>
        </w:rPr>
        <w:t xml:space="preserve"> targeting Asxl1 in transplant experiments. Our findings demonstrate that the collaboration between Gata2</w:t>
      </w:r>
      <w:r w:rsidRPr="00E527D9">
        <w:rPr>
          <w:vertAlign w:val="superscript"/>
          <w:lang w:val="en-US"/>
        </w:rPr>
        <w:t>R396Q</w:t>
      </w:r>
      <w:r w:rsidRPr="00E527D9">
        <w:rPr>
          <w:lang w:val="en-US"/>
        </w:rPr>
        <w:t xml:space="preserve"> and Asxl1 alterations enhances the </w:t>
      </w:r>
      <w:proofErr w:type="spellStart"/>
      <w:r w:rsidRPr="00E527D9">
        <w:rPr>
          <w:lang w:val="en-US"/>
        </w:rPr>
        <w:t>clonogenic</w:t>
      </w:r>
      <w:proofErr w:type="spellEnd"/>
      <w:r w:rsidRPr="00E527D9">
        <w:rPr>
          <w:lang w:val="en-US"/>
        </w:rPr>
        <w:t xml:space="preserve"> activity of HSPC in </w:t>
      </w:r>
      <w:r w:rsidRPr="00E527D9">
        <w:rPr>
          <w:i/>
          <w:lang w:val="en-US"/>
        </w:rPr>
        <w:t>ex vivo</w:t>
      </w:r>
      <w:r w:rsidRPr="00E527D9">
        <w:rPr>
          <w:lang w:val="en-US"/>
        </w:rPr>
        <w:t xml:space="preserve"> assays, intensifying the bias towards granular differentiation observed in cells with Gata2</w:t>
      </w:r>
      <w:r w:rsidRPr="00E527D9">
        <w:rPr>
          <w:vertAlign w:val="superscript"/>
          <w:lang w:val="en-US"/>
        </w:rPr>
        <w:t>R396Q</w:t>
      </w:r>
      <w:r w:rsidRPr="00E527D9">
        <w:rPr>
          <w:lang w:val="en-US"/>
        </w:rPr>
        <w:t xml:space="preserve"> mutation alone.</w:t>
      </w:r>
      <w:bookmarkStart w:id="0" w:name="_GoBack"/>
      <w:bookmarkEnd w:id="0"/>
    </w:p>
    <w:sectPr w:rsidR="00345828" w:rsidRPr="008123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29" w:rsidRDefault="009C7429" w:rsidP="007A7DC4">
      <w:r>
        <w:separator/>
      </w:r>
    </w:p>
  </w:endnote>
  <w:endnote w:type="continuationSeparator" w:id="0">
    <w:p w:rsidR="009C7429" w:rsidRDefault="009C7429" w:rsidP="007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-6985</wp:posOffset>
          </wp:positionV>
          <wp:extent cx="6512560" cy="1209675"/>
          <wp:effectExtent l="0" t="0" r="2540" b="9525"/>
          <wp:wrapTight wrapText="bothSides">
            <wp:wrapPolygon edited="0">
              <wp:start x="0" y="0"/>
              <wp:lineTo x="0" y="21430"/>
              <wp:lineTo x="21545" y="21430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onsors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56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29" w:rsidRDefault="009C7429" w:rsidP="007A7DC4">
      <w:r>
        <w:separator/>
      </w:r>
    </w:p>
  </w:footnote>
  <w:footnote w:type="continuationSeparator" w:id="0">
    <w:p w:rsidR="009C7429" w:rsidRDefault="009C7429" w:rsidP="007A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2676525"/>
          <wp:effectExtent l="0" t="0" r="0" b="9525"/>
          <wp:wrapThrough wrapText="bothSides">
            <wp:wrapPolygon edited="0">
              <wp:start x="0" y="0"/>
              <wp:lineTo x="0" y="21523"/>
              <wp:lineTo x="21544" y="21523"/>
              <wp:lineTo x="2154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267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60D"/>
    <w:multiLevelType w:val="hybridMultilevel"/>
    <w:tmpl w:val="74EE4F96"/>
    <w:lvl w:ilvl="0" w:tplc="81F05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4"/>
    <w:rsid w:val="0008718E"/>
    <w:rsid w:val="000C37EB"/>
    <w:rsid w:val="000F73AA"/>
    <w:rsid w:val="00122855"/>
    <w:rsid w:val="001A6075"/>
    <w:rsid w:val="001B113F"/>
    <w:rsid w:val="001F1CF6"/>
    <w:rsid w:val="001F70C7"/>
    <w:rsid w:val="002509B6"/>
    <w:rsid w:val="00345828"/>
    <w:rsid w:val="004B69A6"/>
    <w:rsid w:val="004D01DE"/>
    <w:rsid w:val="00502CBF"/>
    <w:rsid w:val="00764A42"/>
    <w:rsid w:val="0077699E"/>
    <w:rsid w:val="007A7DC4"/>
    <w:rsid w:val="007F08A4"/>
    <w:rsid w:val="008123B8"/>
    <w:rsid w:val="00821A03"/>
    <w:rsid w:val="008B62B0"/>
    <w:rsid w:val="00961749"/>
    <w:rsid w:val="00961BCC"/>
    <w:rsid w:val="009B0FBC"/>
    <w:rsid w:val="009C7429"/>
    <w:rsid w:val="009D36BE"/>
    <w:rsid w:val="00A07F32"/>
    <w:rsid w:val="00A453D1"/>
    <w:rsid w:val="00A64FB3"/>
    <w:rsid w:val="00A97618"/>
    <w:rsid w:val="00CD4230"/>
    <w:rsid w:val="00D05143"/>
    <w:rsid w:val="00D2136C"/>
    <w:rsid w:val="00EC66C0"/>
    <w:rsid w:val="00F51F8F"/>
    <w:rsid w:val="00FB1682"/>
    <w:rsid w:val="00FB2694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A4977-CD75-4EDF-A7D7-39F847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7DC4"/>
  </w:style>
  <w:style w:type="paragraph" w:styleId="Pieddepage">
    <w:name w:val="footer"/>
    <w:basedOn w:val="Normal"/>
    <w:link w:val="PieddepageCar"/>
    <w:uiPriority w:val="99"/>
    <w:unhideWhenUsed/>
    <w:rsid w:val="007A7D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7DC4"/>
  </w:style>
  <w:style w:type="character" w:customStyle="1" w:styleId="position">
    <w:name w:val="position"/>
    <w:basedOn w:val="Policepardfaut"/>
    <w:rsid w:val="007A7DC4"/>
  </w:style>
  <w:style w:type="character" w:customStyle="1" w:styleId="name">
    <w:name w:val="name"/>
    <w:basedOn w:val="Policepardfaut"/>
    <w:rsid w:val="007A7DC4"/>
  </w:style>
  <w:style w:type="paragraph" w:styleId="NormalWeb">
    <w:name w:val="Normal (Web)"/>
    <w:basedOn w:val="Normal"/>
    <w:uiPriority w:val="99"/>
    <w:unhideWhenUsed/>
    <w:rsid w:val="007A7DC4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styleId="Accentuation">
    <w:name w:val="Emphasis"/>
    <w:basedOn w:val="Policepardfaut"/>
    <w:uiPriority w:val="20"/>
    <w:qFormat/>
    <w:rsid w:val="007A7DC4"/>
    <w:rPr>
      <w:i/>
      <w:iCs/>
    </w:rPr>
  </w:style>
  <w:style w:type="character" w:customStyle="1" w:styleId="indice">
    <w:name w:val="indice"/>
    <w:basedOn w:val="Policepardfaut"/>
    <w:rsid w:val="007A7DC4"/>
  </w:style>
  <w:style w:type="character" w:styleId="lev">
    <w:name w:val="Strong"/>
    <w:basedOn w:val="Policepardfaut"/>
    <w:uiPriority w:val="22"/>
    <w:qFormat/>
    <w:rsid w:val="007F08A4"/>
    <w:rPr>
      <w:b/>
      <w:bCs/>
    </w:rPr>
  </w:style>
  <w:style w:type="character" w:styleId="Lienhypertexte">
    <w:name w:val="Hyperlink"/>
    <w:basedOn w:val="Policepardfaut"/>
    <w:uiPriority w:val="99"/>
    <w:unhideWhenUsed/>
    <w:rsid w:val="00FB168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2285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509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E25-BC5F-4CE0-A372-40B33AAF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Cailmail</dc:creator>
  <cp:keywords/>
  <dc:description/>
  <cp:lastModifiedBy>Stephane Cailmail</cp:lastModifiedBy>
  <cp:revision>3</cp:revision>
  <dcterms:created xsi:type="dcterms:W3CDTF">2023-12-05T16:10:00Z</dcterms:created>
  <dcterms:modified xsi:type="dcterms:W3CDTF">2023-12-05T16:10:00Z</dcterms:modified>
</cp:coreProperties>
</file>